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方正小标宋简体" w:hAnsi="方正小标宋简体" w:eastAsia="方正小标宋简体" w:cs="方正小标宋简体"/>
          <w:b w:val="0"/>
          <w:bCs w:val="0"/>
          <w:color w:val="auto"/>
          <w:sz w:val="32"/>
          <w:szCs w:val="32"/>
        </w:rPr>
        <w:t>食品用竹</w:t>
      </w:r>
      <w:r>
        <w:rPr>
          <w:rFonts w:hint="eastAsia" w:ascii="方正小标宋简体" w:hAnsi="方正小标宋简体" w:eastAsia="方正小标宋简体" w:cs="方正小标宋简体"/>
          <w:b w:val="0"/>
          <w:bCs w:val="0"/>
          <w:color w:val="auto"/>
          <w:sz w:val="32"/>
          <w:szCs w:val="32"/>
          <w:lang w:eastAsia="zh-CN"/>
        </w:rPr>
        <w:t>、</w:t>
      </w:r>
      <w:r>
        <w:rPr>
          <w:rFonts w:hint="eastAsia" w:ascii="方正小标宋简体" w:hAnsi="方正小标宋简体" w:eastAsia="方正小标宋简体" w:cs="方正小标宋简体"/>
          <w:b w:val="0"/>
          <w:bCs w:val="0"/>
          <w:color w:val="auto"/>
          <w:sz w:val="32"/>
          <w:szCs w:val="32"/>
        </w:rPr>
        <w:t>木制品</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15BCA97">
      <w:pPr>
        <w:snapToGrid w:val="0"/>
        <w:spacing w:line="440" w:lineRule="exact"/>
        <w:ind w:firstLine="420" w:firstLineChars="200"/>
        <w:jc w:val="center"/>
        <w:rPr>
          <w:color w:val="000000"/>
        </w:rPr>
      </w:pPr>
      <w:r>
        <w:rPr>
          <w:rFonts w:hint="eastAsia"/>
          <w:color w:val="000000"/>
        </w:rPr>
        <w:t>表1抽样数量</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
        <w:gridCol w:w="1364"/>
        <w:gridCol w:w="24"/>
        <w:gridCol w:w="1943"/>
        <w:gridCol w:w="1314"/>
        <w:gridCol w:w="1678"/>
        <w:gridCol w:w="1845"/>
      </w:tblGrid>
      <w:tr w14:paraId="6B9A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noWrap w:val="0"/>
            <w:vAlign w:val="center"/>
          </w:tcPr>
          <w:p w14:paraId="6A68300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838" w:type="pct"/>
            <w:gridSpan w:val="3"/>
            <w:noWrap w:val="0"/>
            <w:vAlign w:val="center"/>
          </w:tcPr>
          <w:p w14:paraId="2B62C1B2">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产品种类</w:t>
            </w:r>
          </w:p>
        </w:tc>
        <w:tc>
          <w:tcPr>
            <w:tcW w:w="725" w:type="pct"/>
            <w:noWrap w:val="0"/>
            <w:vAlign w:val="center"/>
          </w:tcPr>
          <w:p w14:paraId="6159CE56">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抽样数量（个/双）</w:t>
            </w:r>
          </w:p>
        </w:tc>
        <w:tc>
          <w:tcPr>
            <w:tcW w:w="926" w:type="pct"/>
            <w:noWrap w:val="0"/>
            <w:vAlign w:val="center"/>
          </w:tcPr>
          <w:p w14:paraId="20A0896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检验样品数量（个/双）</w:t>
            </w:r>
          </w:p>
        </w:tc>
        <w:tc>
          <w:tcPr>
            <w:tcW w:w="1018" w:type="pct"/>
            <w:noWrap w:val="0"/>
            <w:vAlign w:val="center"/>
          </w:tcPr>
          <w:p w14:paraId="75A6EF81">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备用样品数量（个/双）</w:t>
            </w:r>
          </w:p>
        </w:tc>
      </w:tr>
      <w:tr w14:paraId="6D70A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restart"/>
            <w:noWrap w:val="0"/>
            <w:vAlign w:val="center"/>
          </w:tcPr>
          <w:p w14:paraId="5F5FE8F9">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753" w:type="pct"/>
            <w:vMerge w:val="restart"/>
            <w:noWrap w:val="0"/>
            <w:vAlign w:val="center"/>
          </w:tcPr>
          <w:p w14:paraId="43E5C12C">
            <w:pPr>
              <w:adjustRightInd w:val="0"/>
              <w:snapToGrid w:val="0"/>
              <w:jc w:val="center"/>
              <w:rPr>
                <w:rFonts w:hint="default" w:ascii="Times New Roman" w:hAnsi="Times New Roman" w:cs="Times New Roman"/>
                <w:szCs w:val="21"/>
              </w:rPr>
            </w:pPr>
            <w:r>
              <w:rPr>
                <w:rFonts w:hint="default" w:ascii="Times New Roman" w:hAnsi="Times New Roman" w:cs="Times New Roman"/>
              </w:rPr>
              <w:t>砧板、托盘、分格餐盘等</w:t>
            </w:r>
          </w:p>
        </w:tc>
        <w:tc>
          <w:tcPr>
            <w:tcW w:w="1084" w:type="pct"/>
            <w:gridSpan w:val="2"/>
            <w:noWrap w:val="0"/>
            <w:vAlign w:val="center"/>
          </w:tcPr>
          <w:p w14:paraId="685B2E64">
            <w:pPr>
              <w:adjustRightInd w:val="0"/>
              <w:snapToGrid w:val="0"/>
              <w:jc w:val="center"/>
              <w:rPr>
                <w:rFonts w:hint="default" w:ascii="Times New Roman" w:hAnsi="Times New Roman" w:cs="Times New Roman"/>
              </w:rPr>
            </w:pPr>
            <w:r>
              <w:rPr>
                <w:rFonts w:hint="default" w:ascii="Times New Roman" w:hAnsi="Times New Roman" w:cs="Times New Roman"/>
              </w:rPr>
              <w:t>含涂料、粘合剂和（或）油墨</w:t>
            </w:r>
          </w:p>
        </w:tc>
        <w:tc>
          <w:tcPr>
            <w:tcW w:w="725" w:type="pct"/>
            <w:noWrap w:val="0"/>
            <w:vAlign w:val="center"/>
          </w:tcPr>
          <w:p w14:paraId="47D473D7">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926" w:type="pct"/>
            <w:noWrap w:val="0"/>
            <w:vAlign w:val="center"/>
          </w:tcPr>
          <w:p w14:paraId="1BB0FFE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1018" w:type="pct"/>
            <w:noWrap w:val="0"/>
            <w:vAlign w:val="center"/>
          </w:tcPr>
          <w:p w14:paraId="2C01708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4</w:t>
            </w:r>
          </w:p>
        </w:tc>
      </w:tr>
      <w:tr w14:paraId="0C8A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continue"/>
            <w:noWrap w:val="0"/>
            <w:vAlign w:val="center"/>
          </w:tcPr>
          <w:p w14:paraId="0E75BBA2">
            <w:pPr>
              <w:adjustRightInd w:val="0"/>
              <w:snapToGrid w:val="0"/>
              <w:jc w:val="center"/>
              <w:rPr>
                <w:rFonts w:hint="default" w:ascii="Times New Roman" w:hAnsi="Times New Roman" w:cs="Times New Roman"/>
                <w:szCs w:val="21"/>
              </w:rPr>
            </w:pPr>
          </w:p>
        </w:tc>
        <w:tc>
          <w:tcPr>
            <w:tcW w:w="753" w:type="pct"/>
            <w:vMerge w:val="continue"/>
            <w:noWrap w:val="0"/>
            <w:vAlign w:val="center"/>
          </w:tcPr>
          <w:p w14:paraId="19AC9779">
            <w:pPr>
              <w:adjustRightInd w:val="0"/>
              <w:snapToGrid w:val="0"/>
              <w:jc w:val="center"/>
              <w:rPr>
                <w:rFonts w:hint="default" w:ascii="Times New Roman" w:hAnsi="Times New Roman" w:cs="Times New Roman"/>
              </w:rPr>
            </w:pPr>
          </w:p>
        </w:tc>
        <w:tc>
          <w:tcPr>
            <w:tcW w:w="1084" w:type="pct"/>
            <w:gridSpan w:val="2"/>
            <w:noWrap w:val="0"/>
            <w:vAlign w:val="center"/>
          </w:tcPr>
          <w:p w14:paraId="194ECB2E">
            <w:pPr>
              <w:adjustRightInd w:val="0"/>
              <w:snapToGrid w:val="0"/>
              <w:jc w:val="center"/>
              <w:rPr>
                <w:rFonts w:hint="default" w:ascii="Times New Roman" w:hAnsi="Times New Roman" w:cs="Times New Roman"/>
              </w:rPr>
            </w:pPr>
            <w:r>
              <w:rPr>
                <w:rFonts w:hint="default" w:ascii="Times New Roman" w:hAnsi="Times New Roman" w:cs="Times New Roman"/>
              </w:rPr>
              <w:t>不含涂料、粘合剂和（或）油墨</w:t>
            </w:r>
          </w:p>
        </w:tc>
        <w:tc>
          <w:tcPr>
            <w:tcW w:w="725" w:type="pct"/>
            <w:noWrap w:val="0"/>
            <w:vAlign w:val="center"/>
          </w:tcPr>
          <w:p w14:paraId="54977DA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926" w:type="pct"/>
            <w:noWrap w:val="0"/>
            <w:vAlign w:val="center"/>
          </w:tcPr>
          <w:p w14:paraId="38FC7757">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018" w:type="pct"/>
            <w:noWrap w:val="0"/>
            <w:vAlign w:val="center"/>
          </w:tcPr>
          <w:p w14:paraId="3A4A71D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r>
      <w:tr w14:paraId="54B6F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restart"/>
            <w:noWrap w:val="0"/>
            <w:vAlign w:val="center"/>
          </w:tcPr>
          <w:p w14:paraId="28C5251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753" w:type="pct"/>
            <w:vMerge w:val="restart"/>
            <w:noWrap w:val="0"/>
            <w:vAlign w:val="center"/>
          </w:tcPr>
          <w:p w14:paraId="3279E67D">
            <w:pPr>
              <w:adjustRightInd w:val="0"/>
              <w:snapToGrid w:val="0"/>
              <w:jc w:val="center"/>
              <w:rPr>
                <w:rFonts w:hint="default" w:ascii="Times New Roman" w:hAnsi="Times New Roman" w:cs="Times New Roman"/>
                <w:szCs w:val="21"/>
              </w:rPr>
            </w:pPr>
            <w:r>
              <w:rPr>
                <w:rFonts w:hint="default" w:ascii="Times New Roman" w:hAnsi="Times New Roman" w:cs="Times New Roman"/>
              </w:rPr>
              <w:t>碗、</w:t>
            </w:r>
            <w:r>
              <w:rPr>
                <w:rFonts w:hint="default" w:ascii="Times New Roman" w:hAnsi="Times New Roman" w:cs="Times New Roman"/>
                <w:color w:val="000000"/>
              </w:rPr>
              <w:t>盘、</w:t>
            </w:r>
            <w:r>
              <w:rPr>
                <w:rFonts w:hint="default" w:ascii="Times New Roman" w:hAnsi="Times New Roman" w:cs="Times New Roman"/>
              </w:rPr>
              <w:t>杯</w:t>
            </w:r>
            <w:r>
              <w:rPr>
                <w:rFonts w:hint="default" w:ascii="Times New Roman" w:hAnsi="Times New Roman" w:cs="Times New Roman"/>
                <w:color w:val="000000"/>
              </w:rPr>
              <w:t>、锅铲、蒸笼</w:t>
            </w:r>
            <w:r>
              <w:rPr>
                <w:rFonts w:hint="default" w:ascii="Times New Roman" w:hAnsi="Times New Roman" w:cs="Times New Roman"/>
              </w:rPr>
              <w:t>等</w:t>
            </w:r>
          </w:p>
        </w:tc>
        <w:tc>
          <w:tcPr>
            <w:tcW w:w="1084" w:type="pct"/>
            <w:gridSpan w:val="2"/>
            <w:noWrap w:val="0"/>
            <w:vAlign w:val="center"/>
          </w:tcPr>
          <w:p w14:paraId="0B0F1885">
            <w:pPr>
              <w:adjustRightInd w:val="0"/>
              <w:snapToGrid w:val="0"/>
              <w:jc w:val="center"/>
              <w:rPr>
                <w:rFonts w:hint="default" w:ascii="Times New Roman" w:hAnsi="Times New Roman" w:cs="Times New Roman"/>
              </w:rPr>
            </w:pPr>
            <w:r>
              <w:rPr>
                <w:rFonts w:hint="default" w:ascii="Times New Roman" w:hAnsi="Times New Roman" w:cs="Times New Roman"/>
              </w:rPr>
              <w:t>含涂料、粘合剂和（或）油墨</w:t>
            </w:r>
          </w:p>
        </w:tc>
        <w:tc>
          <w:tcPr>
            <w:tcW w:w="725" w:type="pct"/>
            <w:noWrap w:val="0"/>
            <w:vAlign w:val="center"/>
          </w:tcPr>
          <w:p w14:paraId="47379C8F">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30</w:t>
            </w:r>
          </w:p>
        </w:tc>
        <w:tc>
          <w:tcPr>
            <w:tcW w:w="926" w:type="pct"/>
            <w:noWrap w:val="0"/>
            <w:vAlign w:val="center"/>
          </w:tcPr>
          <w:p w14:paraId="3936AFC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20</w:t>
            </w:r>
          </w:p>
        </w:tc>
        <w:tc>
          <w:tcPr>
            <w:tcW w:w="1018" w:type="pct"/>
            <w:noWrap w:val="0"/>
            <w:vAlign w:val="center"/>
          </w:tcPr>
          <w:p w14:paraId="72064C8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r>
      <w:tr w14:paraId="768FC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continue"/>
            <w:noWrap w:val="0"/>
            <w:vAlign w:val="center"/>
          </w:tcPr>
          <w:p w14:paraId="3CE69FD8">
            <w:pPr>
              <w:adjustRightInd w:val="0"/>
              <w:snapToGrid w:val="0"/>
              <w:jc w:val="center"/>
              <w:rPr>
                <w:rFonts w:hint="default" w:ascii="Times New Roman" w:hAnsi="Times New Roman" w:cs="Times New Roman"/>
              </w:rPr>
            </w:pPr>
          </w:p>
        </w:tc>
        <w:tc>
          <w:tcPr>
            <w:tcW w:w="753" w:type="pct"/>
            <w:vMerge w:val="continue"/>
            <w:noWrap w:val="0"/>
            <w:vAlign w:val="center"/>
          </w:tcPr>
          <w:p w14:paraId="7A37532F">
            <w:pPr>
              <w:adjustRightInd w:val="0"/>
              <w:snapToGrid w:val="0"/>
              <w:jc w:val="center"/>
              <w:rPr>
                <w:rFonts w:hint="default" w:ascii="Times New Roman" w:hAnsi="Times New Roman" w:cs="Times New Roman"/>
              </w:rPr>
            </w:pPr>
          </w:p>
        </w:tc>
        <w:tc>
          <w:tcPr>
            <w:tcW w:w="1084" w:type="pct"/>
            <w:gridSpan w:val="2"/>
            <w:noWrap w:val="0"/>
            <w:vAlign w:val="center"/>
          </w:tcPr>
          <w:p w14:paraId="58130F6B">
            <w:pPr>
              <w:adjustRightInd w:val="0"/>
              <w:snapToGrid w:val="0"/>
              <w:jc w:val="center"/>
              <w:rPr>
                <w:rFonts w:hint="default" w:ascii="Times New Roman" w:hAnsi="Times New Roman" w:cs="Times New Roman"/>
              </w:rPr>
            </w:pPr>
            <w:r>
              <w:rPr>
                <w:rFonts w:hint="default" w:ascii="Times New Roman" w:hAnsi="Times New Roman" w:cs="Times New Roman"/>
              </w:rPr>
              <w:t>不含涂料、粘合剂和（或）油墨</w:t>
            </w:r>
          </w:p>
        </w:tc>
        <w:tc>
          <w:tcPr>
            <w:tcW w:w="725" w:type="pct"/>
            <w:noWrap w:val="0"/>
            <w:vAlign w:val="center"/>
          </w:tcPr>
          <w:p w14:paraId="14695D5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18</w:t>
            </w:r>
          </w:p>
        </w:tc>
        <w:tc>
          <w:tcPr>
            <w:tcW w:w="926" w:type="pct"/>
            <w:noWrap w:val="0"/>
            <w:vAlign w:val="center"/>
          </w:tcPr>
          <w:p w14:paraId="3BF0DD36">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1018" w:type="pct"/>
            <w:noWrap w:val="0"/>
            <w:vAlign w:val="center"/>
          </w:tcPr>
          <w:p w14:paraId="49D0EA3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w:t>
            </w:r>
          </w:p>
        </w:tc>
      </w:tr>
      <w:tr w14:paraId="5F327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restart"/>
            <w:noWrap w:val="0"/>
            <w:vAlign w:val="center"/>
          </w:tcPr>
          <w:p w14:paraId="54999952">
            <w:pPr>
              <w:adjustRightInd w:val="0"/>
              <w:snapToGrid w:val="0"/>
              <w:jc w:val="center"/>
              <w:rPr>
                <w:rFonts w:hint="default" w:ascii="Times New Roman" w:hAnsi="Times New Roman" w:cs="Times New Roman"/>
                <w:color w:val="0C0C0C"/>
                <w:szCs w:val="21"/>
              </w:rPr>
            </w:pPr>
            <w:r>
              <w:rPr>
                <w:rFonts w:hint="default" w:ascii="Times New Roman" w:hAnsi="Times New Roman" w:cs="Times New Roman"/>
                <w:color w:val="0C0C0C"/>
                <w:szCs w:val="21"/>
              </w:rPr>
              <w:t>3</w:t>
            </w:r>
          </w:p>
        </w:tc>
        <w:tc>
          <w:tcPr>
            <w:tcW w:w="753" w:type="pct"/>
            <w:vMerge w:val="restart"/>
            <w:noWrap w:val="0"/>
            <w:vAlign w:val="center"/>
          </w:tcPr>
          <w:p w14:paraId="3C270AAE">
            <w:pPr>
              <w:adjustRightInd w:val="0"/>
              <w:snapToGrid w:val="0"/>
              <w:jc w:val="center"/>
              <w:rPr>
                <w:rFonts w:hint="default" w:ascii="Times New Roman" w:hAnsi="Times New Roman" w:cs="Times New Roman"/>
                <w:color w:val="0C0C0C"/>
                <w:szCs w:val="21"/>
              </w:rPr>
            </w:pPr>
            <w:r>
              <w:rPr>
                <w:rFonts w:hint="default" w:ascii="Times New Roman" w:hAnsi="Times New Roman" w:cs="Times New Roman"/>
              </w:rPr>
              <w:t>非一次性</w:t>
            </w:r>
            <w:r>
              <w:rPr>
                <w:rFonts w:hint="default" w:ascii="Times New Roman" w:hAnsi="Times New Roman" w:cs="Times New Roman"/>
                <w:color w:val="000000"/>
              </w:rPr>
              <w:t>刀、</w:t>
            </w:r>
            <w:r>
              <w:rPr>
                <w:rFonts w:hint="default" w:ascii="Times New Roman" w:hAnsi="Times New Roman" w:cs="Times New Roman"/>
              </w:rPr>
              <w:t>勺类等</w:t>
            </w:r>
          </w:p>
        </w:tc>
        <w:tc>
          <w:tcPr>
            <w:tcW w:w="1084" w:type="pct"/>
            <w:gridSpan w:val="2"/>
            <w:noWrap w:val="0"/>
            <w:vAlign w:val="center"/>
          </w:tcPr>
          <w:p w14:paraId="2C924EEA">
            <w:pPr>
              <w:adjustRightInd w:val="0"/>
              <w:snapToGrid w:val="0"/>
              <w:jc w:val="center"/>
              <w:rPr>
                <w:rFonts w:hint="default" w:ascii="Times New Roman" w:hAnsi="Times New Roman" w:cs="Times New Roman"/>
                <w:szCs w:val="22"/>
              </w:rPr>
            </w:pPr>
            <w:r>
              <w:rPr>
                <w:rFonts w:hint="default" w:ascii="Times New Roman" w:hAnsi="Times New Roman" w:cs="Times New Roman"/>
              </w:rPr>
              <w:t>含涂料、粘合剂和（或）油墨</w:t>
            </w:r>
          </w:p>
        </w:tc>
        <w:tc>
          <w:tcPr>
            <w:tcW w:w="725" w:type="pct"/>
            <w:noWrap w:val="0"/>
            <w:vAlign w:val="center"/>
          </w:tcPr>
          <w:p w14:paraId="4020A361">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30</w:t>
            </w:r>
          </w:p>
        </w:tc>
        <w:tc>
          <w:tcPr>
            <w:tcW w:w="926" w:type="pct"/>
            <w:noWrap w:val="0"/>
            <w:vAlign w:val="center"/>
          </w:tcPr>
          <w:p w14:paraId="01FE650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20</w:t>
            </w:r>
          </w:p>
        </w:tc>
        <w:tc>
          <w:tcPr>
            <w:tcW w:w="1018" w:type="pct"/>
            <w:noWrap w:val="0"/>
            <w:vAlign w:val="center"/>
          </w:tcPr>
          <w:p w14:paraId="09D86C1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r>
      <w:tr w14:paraId="79F1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continue"/>
            <w:noWrap w:val="0"/>
            <w:vAlign w:val="center"/>
          </w:tcPr>
          <w:p w14:paraId="7AE59B7A">
            <w:pPr>
              <w:adjustRightInd w:val="0"/>
              <w:snapToGrid w:val="0"/>
              <w:jc w:val="center"/>
              <w:rPr>
                <w:rFonts w:hint="default" w:ascii="Times New Roman" w:hAnsi="Times New Roman" w:cs="Times New Roman"/>
              </w:rPr>
            </w:pPr>
          </w:p>
        </w:tc>
        <w:tc>
          <w:tcPr>
            <w:tcW w:w="753" w:type="pct"/>
            <w:vMerge w:val="continue"/>
            <w:noWrap w:val="0"/>
            <w:vAlign w:val="center"/>
          </w:tcPr>
          <w:p w14:paraId="04E0710C">
            <w:pPr>
              <w:adjustRightInd w:val="0"/>
              <w:snapToGrid w:val="0"/>
              <w:jc w:val="center"/>
              <w:rPr>
                <w:rFonts w:hint="default" w:ascii="Times New Roman" w:hAnsi="Times New Roman" w:cs="Times New Roman"/>
              </w:rPr>
            </w:pPr>
          </w:p>
        </w:tc>
        <w:tc>
          <w:tcPr>
            <w:tcW w:w="1084" w:type="pct"/>
            <w:gridSpan w:val="2"/>
            <w:noWrap w:val="0"/>
            <w:vAlign w:val="center"/>
          </w:tcPr>
          <w:p w14:paraId="5779E56A">
            <w:pPr>
              <w:adjustRightInd w:val="0"/>
              <w:snapToGrid w:val="0"/>
              <w:jc w:val="center"/>
              <w:rPr>
                <w:rFonts w:hint="default" w:ascii="Times New Roman" w:hAnsi="Times New Roman" w:cs="Times New Roman"/>
                <w:szCs w:val="22"/>
              </w:rPr>
            </w:pPr>
            <w:r>
              <w:rPr>
                <w:rFonts w:hint="default" w:ascii="Times New Roman" w:hAnsi="Times New Roman" w:cs="Times New Roman"/>
              </w:rPr>
              <w:t>不含涂料、粘合剂和（或）油墨</w:t>
            </w:r>
          </w:p>
        </w:tc>
        <w:tc>
          <w:tcPr>
            <w:tcW w:w="725" w:type="pct"/>
            <w:noWrap w:val="0"/>
            <w:vAlign w:val="center"/>
          </w:tcPr>
          <w:p w14:paraId="58318A68">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20</w:t>
            </w:r>
          </w:p>
        </w:tc>
        <w:tc>
          <w:tcPr>
            <w:tcW w:w="926" w:type="pct"/>
            <w:noWrap w:val="0"/>
            <w:vAlign w:val="center"/>
          </w:tcPr>
          <w:p w14:paraId="1DC1E0F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14</w:t>
            </w:r>
          </w:p>
        </w:tc>
        <w:tc>
          <w:tcPr>
            <w:tcW w:w="1018" w:type="pct"/>
            <w:noWrap w:val="0"/>
            <w:vAlign w:val="center"/>
          </w:tcPr>
          <w:p w14:paraId="1391A15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w:t>
            </w:r>
          </w:p>
        </w:tc>
      </w:tr>
      <w:tr w14:paraId="5535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noWrap w:val="0"/>
            <w:vAlign w:val="center"/>
          </w:tcPr>
          <w:p w14:paraId="12318683">
            <w:pPr>
              <w:adjustRightInd w:val="0"/>
              <w:snapToGrid w:val="0"/>
              <w:jc w:val="center"/>
              <w:rPr>
                <w:rFonts w:hint="default" w:ascii="Times New Roman" w:hAnsi="Times New Roman" w:cs="Times New Roman"/>
                <w:color w:val="0C0C0C"/>
                <w:szCs w:val="21"/>
              </w:rPr>
            </w:pPr>
            <w:r>
              <w:rPr>
                <w:rFonts w:hint="default" w:ascii="Times New Roman" w:hAnsi="Times New Roman" w:cs="Times New Roman"/>
                <w:color w:val="0C0C0C"/>
                <w:szCs w:val="21"/>
              </w:rPr>
              <w:t>4</w:t>
            </w:r>
          </w:p>
        </w:tc>
        <w:tc>
          <w:tcPr>
            <w:tcW w:w="1838" w:type="pct"/>
            <w:gridSpan w:val="3"/>
            <w:noWrap w:val="0"/>
            <w:vAlign w:val="center"/>
          </w:tcPr>
          <w:p w14:paraId="3B801968">
            <w:pPr>
              <w:adjustRightInd w:val="0"/>
              <w:snapToGrid w:val="0"/>
              <w:jc w:val="center"/>
              <w:rPr>
                <w:rFonts w:hint="default" w:ascii="Times New Roman" w:hAnsi="Times New Roman" w:cs="Times New Roman"/>
                <w:color w:val="0C0C0C"/>
                <w:szCs w:val="21"/>
              </w:rPr>
            </w:pPr>
            <w:r>
              <w:rPr>
                <w:rFonts w:hint="default" w:ascii="Times New Roman" w:hAnsi="Times New Roman" w:cs="Times New Roman"/>
              </w:rPr>
              <w:t>一次性使用的筷子（含筷头）、刀、叉、勺等</w:t>
            </w:r>
          </w:p>
        </w:tc>
        <w:tc>
          <w:tcPr>
            <w:tcW w:w="725" w:type="pct"/>
            <w:noWrap w:val="0"/>
            <w:vAlign w:val="center"/>
          </w:tcPr>
          <w:p w14:paraId="79074E5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150</w:t>
            </w:r>
          </w:p>
        </w:tc>
        <w:tc>
          <w:tcPr>
            <w:tcW w:w="926" w:type="pct"/>
            <w:noWrap w:val="0"/>
            <w:vAlign w:val="center"/>
          </w:tcPr>
          <w:p w14:paraId="2649D50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100</w:t>
            </w:r>
          </w:p>
        </w:tc>
        <w:tc>
          <w:tcPr>
            <w:tcW w:w="1018" w:type="pct"/>
            <w:noWrap w:val="0"/>
            <w:vAlign w:val="center"/>
          </w:tcPr>
          <w:p w14:paraId="5B01610F">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50</w:t>
            </w:r>
          </w:p>
        </w:tc>
      </w:tr>
      <w:tr w14:paraId="134A9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restart"/>
            <w:noWrap w:val="0"/>
            <w:vAlign w:val="center"/>
          </w:tcPr>
          <w:p w14:paraId="2C1EF4DC">
            <w:pPr>
              <w:adjustRightInd w:val="0"/>
              <w:snapToGrid w:val="0"/>
              <w:jc w:val="center"/>
              <w:rPr>
                <w:rFonts w:hint="default" w:ascii="Times New Roman" w:hAnsi="Times New Roman" w:cs="Times New Roman"/>
                <w:szCs w:val="21"/>
              </w:rPr>
            </w:pPr>
            <w:r>
              <w:rPr>
                <w:rFonts w:hint="default" w:ascii="Times New Roman" w:hAnsi="Times New Roman" w:cs="Times New Roman"/>
                <w:color w:val="0C0C0C"/>
                <w:szCs w:val="21"/>
              </w:rPr>
              <w:t>5</w:t>
            </w:r>
          </w:p>
        </w:tc>
        <w:tc>
          <w:tcPr>
            <w:tcW w:w="766" w:type="pct"/>
            <w:gridSpan w:val="2"/>
            <w:vMerge w:val="restart"/>
            <w:noWrap w:val="0"/>
            <w:vAlign w:val="center"/>
          </w:tcPr>
          <w:p w14:paraId="5A8081FC">
            <w:pPr>
              <w:adjustRightInd w:val="0"/>
              <w:snapToGrid w:val="0"/>
              <w:jc w:val="center"/>
              <w:rPr>
                <w:rFonts w:hint="default" w:ascii="Times New Roman" w:hAnsi="Times New Roman" w:cs="Times New Roman"/>
                <w:szCs w:val="21"/>
              </w:rPr>
            </w:pPr>
            <w:r>
              <w:rPr>
                <w:rFonts w:hint="default" w:ascii="Times New Roman" w:hAnsi="Times New Roman" w:cs="Times New Roman"/>
              </w:rPr>
              <w:t>非一次性筷子</w:t>
            </w:r>
          </w:p>
        </w:tc>
        <w:tc>
          <w:tcPr>
            <w:tcW w:w="1071" w:type="pct"/>
            <w:noWrap w:val="0"/>
            <w:vAlign w:val="center"/>
          </w:tcPr>
          <w:p w14:paraId="5B33F3F5">
            <w:pPr>
              <w:adjustRightInd w:val="0"/>
              <w:snapToGrid w:val="0"/>
              <w:jc w:val="center"/>
              <w:rPr>
                <w:rFonts w:hint="default" w:ascii="Times New Roman" w:hAnsi="Times New Roman" w:cs="Times New Roman"/>
                <w:szCs w:val="22"/>
              </w:rPr>
            </w:pPr>
            <w:r>
              <w:rPr>
                <w:rFonts w:hint="default" w:ascii="Times New Roman" w:hAnsi="Times New Roman" w:cs="Times New Roman"/>
              </w:rPr>
              <w:t>含涂料、粘合剂和（或）油墨</w:t>
            </w:r>
          </w:p>
        </w:tc>
        <w:tc>
          <w:tcPr>
            <w:tcW w:w="725" w:type="pct"/>
            <w:noWrap w:val="0"/>
            <w:vAlign w:val="center"/>
          </w:tcPr>
          <w:p w14:paraId="783E365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60</w:t>
            </w:r>
          </w:p>
        </w:tc>
        <w:tc>
          <w:tcPr>
            <w:tcW w:w="926" w:type="pct"/>
            <w:noWrap w:val="0"/>
            <w:vAlign w:val="center"/>
          </w:tcPr>
          <w:p w14:paraId="2C123AF4">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40</w:t>
            </w:r>
          </w:p>
        </w:tc>
        <w:tc>
          <w:tcPr>
            <w:tcW w:w="1018" w:type="pct"/>
            <w:noWrap w:val="0"/>
            <w:vAlign w:val="center"/>
          </w:tcPr>
          <w:p w14:paraId="2F774A14">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20</w:t>
            </w:r>
          </w:p>
        </w:tc>
      </w:tr>
      <w:tr w14:paraId="666AD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vMerge w:val="continue"/>
            <w:noWrap w:val="0"/>
            <w:vAlign w:val="center"/>
          </w:tcPr>
          <w:p w14:paraId="569452C7">
            <w:pPr>
              <w:adjustRightInd w:val="0"/>
              <w:snapToGrid w:val="0"/>
              <w:jc w:val="center"/>
              <w:rPr>
                <w:rFonts w:hint="default" w:ascii="Times New Roman" w:hAnsi="Times New Roman" w:cs="Times New Roman"/>
                <w:szCs w:val="21"/>
              </w:rPr>
            </w:pPr>
          </w:p>
        </w:tc>
        <w:tc>
          <w:tcPr>
            <w:tcW w:w="766" w:type="pct"/>
            <w:gridSpan w:val="2"/>
            <w:vMerge w:val="continue"/>
            <w:noWrap w:val="0"/>
            <w:vAlign w:val="center"/>
          </w:tcPr>
          <w:p w14:paraId="34CAD537">
            <w:pPr>
              <w:adjustRightInd w:val="0"/>
              <w:snapToGrid w:val="0"/>
              <w:jc w:val="center"/>
              <w:rPr>
                <w:rFonts w:hint="default" w:ascii="Times New Roman" w:hAnsi="Times New Roman" w:cs="Times New Roman"/>
                <w:szCs w:val="21"/>
              </w:rPr>
            </w:pPr>
          </w:p>
        </w:tc>
        <w:tc>
          <w:tcPr>
            <w:tcW w:w="1071" w:type="pct"/>
            <w:noWrap w:val="0"/>
            <w:vAlign w:val="center"/>
          </w:tcPr>
          <w:p w14:paraId="431827BF">
            <w:pPr>
              <w:adjustRightInd w:val="0"/>
              <w:snapToGrid w:val="0"/>
              <w:jc w:val="center"/>
              <w:rPr>
                <w:rFonts w:hint="default" w:ascii="Times New Roman" w:hAnsi="Times New Roman" w:cs="Times New Roman"/>
                <w:szCs w:val="22"/>
              </w:rPr>
            </w:pPr>
            <w:r>
              <w:rPr>
                <w:rFonts w:hint="default" w:ascii="Times New Roman" w:hAnsi="Times New Roman" w:cs="Times New Roman"/>
              </w:rPr>
              <w:t>不含涂料、粘合剂和（或）油墨</w:t>
            </w:r>
          </w:p>
        </w:tc>
        <w:tc>
          <w:tcPr>
            <w:tcW w:w="725" w:type="pct"/>
            <w:noWrap w:val="0"/>
            <w:vAlign w:val="center"/>
          </w:tcPr>
          <w:p w14:paraId="7FC139D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40</w:t>
            </w:r>
          </w:p>
        </w:tc>
        <w:tc>
          <w:tcPr>
            <w:tcW w:w="926" w:type="pct"/>
            <w:noWrap w:val="0"/>
            <w:vAlign w:val="center"/>
          </w:tcPr>
          <w:p w14:paraId="5540AFD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30</w:t>
            </w:r>
          </w:p>
        </w:tc>
        <w:tc>
          <w:tcPr>
            <w:tcW w:w="1018" w:type="pct"/>
            <w:noWrap w:val="0"/>
            <w:vAlign w:val="center"/>
          </w:tcPr>
          <w:p w14:paraId="11D04EA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r>
      <w:tr w14:paraId="2B5F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1" w:type="pct"/>
            <w:noWrap w:val="0"/>
            <w:vAlign w:val="center"/>
          </w:tcPr>
          <w:p w14:paraId="2F0CE48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1838" w:type="pct"/>
            <w:gridSpan w:val="3"/>
            <w:noWrap w:val="0"/>
            <w:vAlign w:val="center"/>
          </w:tcPr>
          <w:p w14:paraId="6C59D763">
            <w:pPr>
              <w:adjustRightInd w:val="0"/>
              <w:snapToGrid w:val="0"/>
              <w:jc w:val="center"/>
              <w:rPr>
                <w:rFonts w:hint="default" w:ascii="Times New Roman" w:hAnsi="Times New Roman" w:cs="Times New Roman"/>
                <w:szCs w:val="21"/>
              </w:rPr>
            </w:pPr>
            <w:r>
              <w:rPr>
                <w:rFonts w:hint="default" w:ascii="Times New Roman" w:hAnsi="Times New Roman" w:cs="Times New Roman"/>
              </w:rPr>
              <w:t>雪糕柄、叉、签等</w:t>
            </w:r>
          </w:p>
        </w:tc>
        <w:tc>
          <w:tcPr>
            <w:tcW w:w="725" w:type="pct"/>
            <w:noWrap w:val="0"/>
            <w:vAlign w:val="center"/>
          </w:tcPr>
          <w:p w14:paraId="27554E2F">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600</w:t>
            </w:r>
          </w:p>
        </w:tc>
        <w:tc>
          <w:tcPr>
            <w:tcW w:w="926" w:type="pct"/>
            <w:noWrap w:val="0"/>
            <w:vAlign w:val="center"/>
          </w:tcPr>
          <w:p w14:paraId="36D2699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300</w:t>
            </w:r>
          </w:p>
        </w:tc>
        <w:tc>
          <w:tcPr>
            <w:tcW w:w="1018" w:type="pct"/>
            <w:noWrap w:val="0"/>
            <w:vAlign w:val="center"/>
          </w:tcPr>
          <w:p w14:paraId="6D54FCB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300</w:t>
            </w:r>
          </w:p>
        </w:tc>
      </w:tr>
    </w:tbl>
    <w:p w14:paraId="0250173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eastAsia="zh-CN"/>
        </w:rPr>
      </w:pPr>
      <w:r>
        <w:rPr>
          <w:rFonts w:hint="eastAsia" w:ascii="Times New Roman" w:hAnsi="Times New Roman" w:eastAsia="宋体" w:cs="宋体"/>
          <w:sz w:val="22"/>
          <w:szCs w:val="28"/>
          <w:lang w:eastAsia="zh-CN"/>
        </w:rPr>
        <w:t>现场提取受检产品的标签、说明书、合格证、符合性声明、随附文件等。必要时，应向经销商索取产品外包装（如：纸箱等）所附带的产品信息。</w:t>
      </w:r>
    </w:p>
    <w:p w14:paraId="75BD656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4"/>
        <w:tblW w:w="0" w:type="auto"/>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14"/>
        <w:gridCol w:w="3402"/>
        <w:gridCol w:w="2490"/>
        <w:gridCol w:w="2532"/>
      </w:tblGrid>
      <w:tr w14:paraId="6AB08E2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357" w:hRule="atLeast"/>
          <w:tblHeader/>
          <w:jc w:val="center"/>
        </w:trPr>
        <w:tc>
          <w:tcPr>
            <w:tcW w:w="614" w:type="dxa"/>
            <w:tcBorders>
              <w:top w:val="outset" w:color="000000" w:sz="6" w:space="0"/>
              <w:left w:val="outset" w:color="000000" w:sz="6" w:space="0"/>
              <w:bottom w:val="outset" w:color="000000" w:sz="6" w:space="0"/>
              <w:right w:val="outset" w:color="000000" w:sz="6" w:space="0"/>
            </w:tcBorders>
            <w:noWrap w:val="0"/>
            <w:vAlign w:val="center"/>
          </w:tcPr>
          <w:p w14:paraId="33B20DED">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序号</w:t>
            </w:r>
          </w:p>
        </w:tc>
        <w:tc>
          <w:tcPr>
            <w:tcW w:w="3402" w:type="dxa"/>
            <w:tcBorders>
              <w:top w:val="outset" w:color="000000" w:sz="6" w:space="0"/>
              <w:left w:val="outset" w:color="000000" w:sz="6" w:space="0"/>
              <w:bottom w:val="outset" w:color="000000" w:sz="6" w:space="0"/>
              <w:right w:val="outset" w:color="000000" w:sz="6" w:space="0"/>
            </w:tcBorders>
            <w:noWrap w:val="0"/>
            <w:vAlign w:val="center"/>
          </w:tcPr>
          <w:p w14:paraId="3241B5A5">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检验项目</w:t>
            </w:r>
          </w:p>
        </w:tc>
        <w:tc>
          <w:tcPr>
            <w:tcW w:w="2490" w:type="dxa"/>
            <w:tcBorders>
              <w:left w:val="outset" w:color="000000" w:sz="6" w:space="0"/>
              <w:bottom w:val="outset" w:color="000000" w:sz="6" w:space="0"/>
              <w:right w:val="outset" w:color="000000" w:sz="6" w:space="0"/>
            </w:tcBorders>
            <w:noWrap w:val="0"/>
            <w:vAlign w:val="center"/>
          </w:tcPr>
          <w:p w14:paraId="6E868F0E">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检验依据</w:t>
            </w:r>
          </w:p>
        </w:tc>
        <w:tc>
          <w:tcPr>
            <w:tcW w:w="2532" w:type="dxa"/>
            <w:tcBorders>
              <w:left w:val="outset" w:color="000000" w:sz="6" w:space="0"/>
              <w:bottom w:val="outset" w:color="000000" w:sz="6" w:space="0"/>
              <w:right w:val="outset" w:color="000000" w:sz="6" w:space="0"/>
            </w:tcBorders>
            <w:noWrap w:val="0"/>
            <w:vAlign w:val="center"/>
          </w:tcPr>
          <w:p w14:paraId="67EE6A08">
            <w:pPr>
              <w:widowControl/>
              <w:topLinePunct/>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检验方法</w:t>
            </w:r>
          </w:p>
        </w:tc>
      </w:tr>
      <w:tr w14:paraId="44D03C6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02" w:hRule="atLeast"/>
          <w:jc w:val="center"/>
        </w:trPr>
        <w:tc>
          <w:tcPr>
            <w:tcW w:w="614" w:type="dxa"/>
            <w:tcBorders>
              <w:top w:val="outset" w:color="000000" w:sz="6" w:space="0"/>
              <w:left w:val="outset" w:color="000000" w:sz="6" w:space="0"/>
              <w:bottom w:val="outset" w:color="000000" w:sz="6" w:space="0"/>
              <w:right w:val="outset" w:color="000000" w:sz="6" w:space="0"/>
            </w:tcBorders>
            <w:noWrap w:val="0"/>
            <w:vAlign w:val="center"/>
          </w:tcPr>
          <w:p w14:paraId="1C904324">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1</w:t>
            </w:r>
          </w:p>
        </w:tc>
        <w:tc>
          <w:tcPr>
            <w:tcW w:w="3402" w:type="dxa"/>
            <w:tcBorders>
              <w:top w:val="outset" w:color="000000" w:sz="6" w:space="0"/>
              <w:left w:val="outset" w:color="000000" w:sz="6" w:space="0"/>
              <w:right w:val="outset" w:color="000000" w:sz="6" w:space="0"/>
            </w:tcBorders>
            <w:noWrap w:val="0"/>
            <w:vAlign w:val="center"/>
          </w:tcPr>
          <w:p w14:paraId="339634C3">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感官要求</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3F2E4EB5">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 xml:space="preserve">GB 4806.12—2022 </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46944F1D">
            <w:pPr>
              <w:widowControl/>
              <w:topLinePunct/>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4806.12</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 xml:space="preserve">2022 </w:t>
            </w:r>
          </w:p>
        </w:tc>
      </w:tr>
      <w:tr w14:paraId="3E0E0E5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32" w:hRule="atLeast"/>
          <w:jc w:val="center"/>
        </w:trPr>
        <w:tc>
          <w:tcPr>
            <w:tcW w:w="614" w:type="dxa"/>
            <w:tcBorders>
              <w:top w:val="outset" w:color="000000" w:sz="6" w:space="0"/>
              <w:left w:val="outset" w:color="000000" w:sz="6" w:space="0"/>
              <w:bottom w:val="outset" w:color="000000" w:sz="6" w:space="0"/>
              <w:right w:val="outset" w:color="000000" w:sz="6" w:space="0"/>
            </w:tcBorders>
            <w:noWrap w:val="0"/>
            <w:vAlign w:val="center"/>
          </w:tcPr>
          <w:p w14:paraId="7FDAF6E4">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2</w:t>
            </w:r>
          </w:p>
        </w:tc>
        <w:tc>
          <w:tcPr>
            <w:tcW w:w="3402" w:type="dxa"/>
            <w:tcBorders>
              <w:top w:val="outset" w:color="000000" w:sz="6" w:space="0"/>
              <w:left w:val="outset" w:color="000000" w:sz="6" w:space="0"/>
              <w:right w:val="outset" w:color="000000" w:sz="6" w:space="0"/>
            </w:tcBorders>
            <w:noWrap w:val="0"/>
            <w:vAlign w:val="center"/>
          </w:tcPr>
          <w:p w14:paraId="5C22BE22">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总迁移量</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20B419C8">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 xml:space="preserve">GB 4806.12—2022 </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1473A749">
            <w:pPr>
              <w:widowControl/>
              <w:topLinePunct/>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31604.8</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2021</w:t>
            </w:r>
          </w:p>
        </w:tc>
      </w:tr>
      <w:tr w14:paraId="243BAC0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32" w:hRule="atLeast"/>
          <w:jc w:val="center"/>
        </w:trPr>
        <w:tc>
          <w:tcPr>
            <w:tcW w:w="614" w:type="dxa"/>
            <w:tcBorders>
              <w:top w:val="outset" w:color="000000" w:sz="6" w:space="0"/>
              <w:left w:val="outset" w:color="000000" w:sz="6" w:space="0"/>
              <w:bottom w:val="outset" w:color="000000" w:sz="6" w:space="0"/>
              <w:right w:val="outset" w:color="000000" w:sz="6" w:space="0"/>
            </w:tcBorders>
            <w:noWrap w:val="0"/>
            <w:vAlign w:val="center"/>
          </w:tcPr>
          <w:p w14:paraId="1C09F218">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3</w:t>
            </w:r>
          </w:p>
        </w:tc>
        <w:tc>
          <w:tcPr>
            <w:tcW w:w="3402" w:type="dxa"/>
            <w:tcBorders>
              <w:top w:val="outset" w:color="000000" w:sz="6" w:space="0"/>
              <w:left w:val="outset" w:color="000000" w:sz="6" w:space="0"/>
              <w:right w:val="outset" w:color="000000" w:sz="6" w:space="0"/>
            </w:tcBorders>
            <w:noWrap w:val="0"/>
            <w:vAlign w:val="center"/>
          </w:tcPr>
          <w:p w14:paraId="433A9BF1">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甲醛</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216F99E6">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 xml:space="preserve">GB 4806.12—2022 </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719764E3">
            <w:pPr>
              <w:widowControl/>
              <w:topLinePunct/>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31604.48</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2016</w:t>
            </w:r>
          </w:p>
        </w:tc>
      </w:tr>
      <w:tr w14:paraId="7692FF5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22" w:hRule="atLeast"/>
          <w:jc w:val="center"/>
        </w:trPr>
        <w:tc>
          <w:tcPr>
            <w:tcW w:w="614" w:type="dxa"/>
            <w:tcBorders>
              <w:top w:val="outset" w:color="000000" w:sz="6" w:space="0"/>
              <w:left w:val="outset" w:color="000000" w:sz="6" w:space="0"/>
              <w:bottom w:val="single" w:color="auto" w:sz="4" w:space="0"/>
              <w:right w:val="outset" w:color="000000" w:sz="6" w:space="0"/>
            </w:tcBorders>
            <w:noWrap w:val="0"/>
            <w:vAlign w:val="center"/>
          </w:tcPr>
          <w:p w14:paraId="571DEA29">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4</w:t>
            </w:r>
          </w:p>
        </w:tc>
        <w:tc>
          <w:tcPr>
            <w:tcW w:w="3402" w:type="dxa"/>
            <w:tcBorders>
              <w:top w:val="outset" w:color="000000" w:sz="6" w:space="0"/>
              <w:left w:val="outset" w:color="000000" w:sz="6" w:space="0"/>
              <w:bottom w:val="single" w:color="auto" w:sz="4" w:space="0"/>
              <w:right w:val="outset" w:color="000000" w:sz="6" w:space="0"/>
            </w:tcBorders>
            <w:noWrap w:val="0"/>
            <w:vAlign w:val="center"/>
          </w:tcPr>
          <w:p w14:paraId="18B3C4EB">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二氧化硫</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5B9D9D12">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 xml:space="preserve">GB 4806.12—2022 </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71BFBA7A">
            <w:pPr>
              <w:widowControl/>
              <w:topLinePunct w:val="0"/>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4806.12—2022</w:t>
            </w:r>
          </w:p>
        </w:tc>
      </w:tr>
      <w:tr w14:paraId="7818D03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5" w:hRule="atLeast"/>
          <w:jc w:val="center"/>
        </w:trPr>
        <w:tc>
          <w:tcPr>
            <w:tcW w:w="614" w:type="dxa"/>
            <w:tcBorders>
              <w:top w:val="outset" w:color="000000" w:sz="6" w:space="0"/>
              <w:left w:val="outset" w:color="000000" w:sz="6" w:space="0"/>
              <w:bottom w:val="single" w:color="auto" w:sz="4" w:space="0"/>
              <w:right w:val="outset" w:color="000000" w:sz="6" w:space="0"/>
            </w:tcBorders>
            <w:noWrap w:val="0"/>
            <w:vAlign w:val="center"/>
          </w:tcPr>
          <w:p w14:paraId="2D33AC34">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5</w:t>
            </w:r>
          </w:p>
        </w:tc>
        <w:tc>
          <w:tcPr>
            <w:tcW w:w="3402" w:type="dxa"/>
            <w:tcBorders>
              <w:top w:val="outset" w:color="000000" w:sz="6" w:space="0"/>
              <w:left w:val="outset" w:color="000000" w:sz="6" w:space="0"/>
              <w:bottom w:val="single" w:color="auto" w:sz="4" w:space="0"/>
              <w:right w:val="outset" w:color="000000" w:sz="6" w:space="0"/>
            </w:tcBorders>
            <w:noWrap w:val="0"/>
            <w:vAlign w:val="center"/>
          </w:tcPr>
          <w:p w14:paraId="0B46662A">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五氯苯酚及其盐类（以五氯苯酚计）</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5E55C3E1">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 xml:space="preserve">GB 4806.12—2022 </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5521497B">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GB 4806.12</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 xml:space="preserve">2022 </w:t>
            </w:r>
          </w:p>
          <w:p w14:paraId="103D6E8D">
            <w:pPr>
              <w:widowControl/>
              <w:topLinePunct/>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SN/T 2204</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2015</w:t>
            </w:r>
          </w:p>
        </w:tc>
      </w:tr>
      <w:tr w14:paraId="1436B840">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42"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1D34FAC3">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6</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07BB7902">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噻菌灵</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082164BF">
            <w:pPr>
              <w:widowControl/>
              <w:topLinePunct w:val="0"/>
              <w:adjustRightInd w:val="0"/>
              <w:snapToGrid w:val="0"/>
              <w:jc w:val="center"/>
              <w:rPr>
                <w:rFonts w:hint="default" w:ascii="Times New Roman" w:hAnsi="Times New Roman" w:eastAsia="宋体" w:cs="Times New Roman"/>
                <w:color w:val="auto"/>
                <w:sz w:val="22"/>
                <w:szCs w:val="22"/>
                <w:lang w:val="en-US" w:eastAsia="zh-CN"/>
              </w:rPr>
            </w:pPr>
            <w:r>
              <w:rPr>
                <w:rFonts w:hint="default" w:ascii="Times New Roman" w:hAnsi="Times New Roman" w:eastAsia="宋体" w:cs="Times New Roman"/>
                <w:color w:val="auto"/>
                <w:sz w:val="22"/>
                <w:szCs w:val="28"/>
              </w:rPr>
              <w:t>GB 4806.12—2022</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6D9ECA29">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4806.12—2022</w:t>
            </w:r>
          </w:p>
        </w:tc>
      </w:tr>
      <w:tr w14:paraId="18B6CD4C">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27"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7B78CFF9">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7</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0D2BAD22">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邻苯基苯酚</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4E8E1661">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 4806.12—2022</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3275ACAE">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4806.12—2022</w:t>
            </w:r>
          </w:p>
        </w:tc>
      </w:tr>
      <w:tr w14:paraId="1F249D99">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27"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1FFAFBFD">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8</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1A6647FF">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联苯</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7F032B44">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 4806.12—2022</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3BCB0E27">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4806.12—2022</w:t>
            </w:r>
          </w:p>
        </w:tc>
      </w:tr>
      <w:tr w14:paraId="3ACB7BB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72"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56C43D24">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9</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193A2D03">
            <w:pPr>
              <w:widowControl/>
              <w:topLinePunct/>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抑霉唑</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4EB89E7D">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 4806.12—2022</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186726E7">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4806.12—2022</w:t>
            </w:r>
          </w:p>
        </w:tc>
      </w:tr>
      <w:tr w14:paraId="3DB5FEC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60"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64ABD7C2">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10</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5DDD47F1">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大肠菌群</w:t>
            </w:r>
            <w:r>
              <w:rPr>
                <w:rFonts w:hint="default" w:ascii="Times New Roman" w:hAnsi="Times New Roman" w:eastAsia="宋体" w:cs="Times New Roman"/>
                <w:color w:val="auto"/>
                <w:sz w:val="22"/>
                <w:szCs w:val="28"/>
                <w:vertAlign w:val="superscript"/>
              </w:rPr>
              <w:t>a</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03900016">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 14934—2016</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47E03268">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14934—2016</w:t>
            </w:r>
          </w:p>
        </w:tc>
      </w:tr>
      <w:tr w14:paraId="2427E9E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15"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2BFE6AD8">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11</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244E0FEF">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沙门氏菌</w:t>
            </w:r>
            <w:r>
              <w:rPr>
                <w:rFonts w:hint="default" w:ascii="Times New Roman" w:hAnsi="Times New Roman" w:eastAsia="宋体" w:cs="Times New Roman"/>
                <w:color w:val="auto"/>
                <w:sz w:val="22"/>
                <w:szCs w:val="28"/>
                <w:vertAlign w:val="superscript"/>
              </w:rPr>
              <w:t>a</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09F5CCA2">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 14934—2016</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4941BB33">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8"/>
              </w:rPr>
              <w:t>GB 14934—2016</w:t>
            </w:r>
          </w:p>
        </w:tc>
      </w:tr>
      <w:tr w14:paraId="3DF56FB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60"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53E75203">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12</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752A2830">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志贺氏菌</w:t>
            </w:r>
            <w:r>
              <w:rPr>
                <w:rFonts w:hint="default" w:ascii="Times New Roman" w:hAnsi="Times New Roman" w:eastAsia="宋体" w:cs="Times New Roman"/>
                <w:color w:val="auto"/>
                <w:sz w:val="22"/>
                <w:szCs w:val="28"/>
                <w:vertAlign w:val="superscript"/>
              </w:rPr>
              <w:t>b</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5A045CA1">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GB/T 19790.2—2005</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0DBCB0EB">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4789.5</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2012</w:t>
            </w:r>
          </w:p>
        </w:tc>
      </w:tr>
      <w:tr w14:paraId="6A3B015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445"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344A6F91">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13</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7640978B">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金黄色葡萄球菌</w:t>
            </w:r>
            <w:r>
              <w:rPr>
                <w:rFonts w:hint="default" w:ascii="Times New Roman" w:hAnsi="Times New Roman" w:eastAsia="宋体" w:cs="Times New Roman"/>
                <w:color w:val="auto"/>
                <w:sz w:val="22"/>
                <w:szCs w:val="28"/>
                <w:vertAlign w:val="superscript"/>
              </w:rPr>
              <w:t>b</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36EC091B">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GB/T 19790.2—2005</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4E0AA533">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4789.10</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2016</w:t>
            </w:r>
          </w:p>
        </w:tc>
      </w:tr>
      <w:tr w14:paraId="5009B6F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385"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1C6A991E">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14</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33955EC2">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溶血性链球菌</w:t>
            </w:r>
            <w:r>
              <w:rPr>
                <w:rFonts w:hint="default" w:ascii="Times New Roman" w:hAnsi="Times New Roman" w:eastAsia="宋体" w:cs="Times New Roman"/>
                <w:color w:val="auto"/>
                <w:sz w:val="22"/>
                <w:szCs w:val="28"/>
                <w:vertAlign w:val="superscript"/>
              </w:rPr>
              <w:t>b</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6B7322FB">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GB/T 19790.2—2005</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40E60ED1">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4789.11</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2014</w:t>
            </w:r>
          </w:p>
        </w:tc>
      </w:tr>
      <w:tr w14:paraId="76E8161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585" w:hRule="atLeast"/>
          <w:jc w:val="center"/>
        </w:trPr>
        <w:tc>
          <w:tcPr>
            <w:tcW w:w="614" w:type="dxa"/>
            <w:tcBorders>
              <w:top w:val="single" w:color="auto" w:sz="4" w:space="0"/>
              <w:left w:val="outset" w:color="000000" w:sz="6" w:space="0"/>
              <w:bottom w:val="single" w:color="auto" w:sz="4" w:space="0"/>
              <w:right w:val="outset" w:color="000000" w:sz="6" w:space="0"/>
            </w:tcBorders>
            <w:noWrap w:val="0"/>
            <w:vAlign w:val="center"/>
          </w:tcPr>
          <w:p w14:paraId="0279D740">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15</w:t>
            </w:r>
          </w:p>
        </w:tc>
        <w:tc>
          <w:tcPr>
            <w:tcW w:w="3402" w:type="dxa"/>
            <w:tcBorders>
              <w:top w:val="single" w:color="auto" w:sz="4" w:space="0"/>
              <w:left w:val="outset" w:color="000000" w:sz="6" w:space="0"/>
              <w:bottom w:val="single" w:color="auto" w:sz="4" w:space="0"/>
              <w:right w:val="outset" w:color="000000" w:sz="6" w:space="0"/>
            </w:tcBorders>
            <w:noWrap w:val="0"/>
            <w:vAlign w:val="center"/>
          </w:tcPr>
          <w:p w14:paraId="6FF931F2">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霉菌</w:t>
            </w:r>
            <w:r>
              <w:rPr>
                <w:rFonts w:hint="default" w:ascii="Times New Roman" w:hAnsi="Times New Roman" w:eastAsia="宋体" w:cs="Times New Roman"/>
                <w:color w:val="auto"/>
                <w:sz w:val="22"/>
                <w:szCs w:val="28"/>
                <w:vertAlign w:val="superscript"/>
              </w:rPr>
              <w:t>b</w:t>
            </w:r>
          </w:p>
        </w:tc>
        <w:tc>
          <w:tcPr>
            <w:tcW w:w="2490" w:type="dxa"/>
            <w:tcBorders>
              <w:top w:val="outset" w:color="000000" w:sz="6" w:space="0"/>
              <w:left w:val="outset" w:color="000000" w:sz="6" w:space="0"/>
              <w:bottom w:val="outset" w:color="000000" w:sz="6" w:space="0"/>
              <w:right w:val="outset" w:color="000000" w:sz="6" w:space="0"/>
            </w:tcBorders>
            <w:noWrap w:val="0"/>
            <w:vAlign w:val="center"/>
          </w:tcPr>
          <w:p w14:paraId="37FE2300">
            <w:pPr>
              <w:adjustRightInd w:val="0"/>
              <w:snapToGrid w:val="0"/>
              <w:jc w:val="center"/>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8"/>
              </w:rPr>
              <w:t>GB/T 19790.2—2005</w:t>
            </w:r>
          </w:p>
        </w:tc>
        <w:tc>
          <w:tcPr>
            <w:tcW w:w="2532" w:type="dxa"/>
            <w:tcBorders>
              <w:top w:val="outset" w:color="000000" w:sz="6" w:space="0"/>
              <w:left w:val="outset" w:color="000000" w:sz="6" w:space="0"/>
              <w:bottom w:val="outset" w:color="000000" w:sz="6" w:space="0"/>
              <w:right w:val="outset" w:color="000000" w:sz="6" w:space="0"/>
            </w:tcBorders>
            <w:noWrap w:val="0"/>
            <w:vAlign w:val="center"/>
          </w:tcPr>
          <w:p w14:paraId="555E48AB">
            <w:pPr>
              <w:adjustRightInd w:val="0"/>
              <w:snapToGrid w:val="0"/>
              <w:jc w:val="center"/>
              <w:rPr>
                <w:rFonts w:hint="default" w:ascii="Times New Roman" w:hAnsi="Times New Roman" w:eastAsia="宋体" w:cs="Times New Roman"/>
                <w:color w:val="auto"/>
                <w:sz w:val="22"/>
                <w:szCs w:val="22"/>
                <w:lang w:val="en-US" w:eastAsia="zh-CN" w:bidi="ar-SA"/>
              </w:rPr>
            </w:pPr>
            <w:r>
              <w:rPr>
                <w:rFonts w:hint="default" w:ascii="Times New Roman" w:hAnsi="Times New Roman" w:eastAsia="宋体" w:cs="Times New Roman"/>
                <w:color w:val="auto"/>
                <w:sz w:val="22"/>
                <w:szCs w:val="22"/>
              </w:rPr>
              <w:t>GB 4789.15</w:t>
            </w:r>
            <w:r>
              <w:rPr>
                <w:rFonts w:hint="default" w:ascii="Times New Roman" w:hAnsi="Times New Roman" w:eastAsia="宋体" w:cs="Times New Roman"/>
                <w:color w:val="auto"/>
                <w:sz w:val="22"/>
                <w:szCs w:val="28"/>
              </w:rPr>
              <w:t>—</w:t>
            </w:r>
            <w:r>
              <w:rPr>
                <w:rFonts w:hint="default" w:ascii="Times New Roman" w:hAnsi="Times New Roman" w:eastAsia="宋体" w:cs="Times New Roman"/>
                <w:color w:val="auto"/>
                <w:sz w:val="22"/>
                <w:szCs w:val="22"/>
              </w:rPr>
              <w:t>2016</w:t>
            </w:r>
          </w:p>
        </w:tc>
      </w:tr>
      <w:tr w14:paraId="520C1A19">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004" w:hRule="atLeast"/>
          <w:jc w:val="center"/>
        </w:trPr>
        <w:tc>
          <w:tcPr>
            <w:tcW w:w="9038" w:type="dxa"/>
            <w:gridSpan w:val="4"/>
            <w:tcBorders>
              <w:top w:val="single" w:color="auto" w:sz="4" w:space="0"/>
              <w:left w:val="outset" w:color="000000" w:sz="6" w:space="0"/>
              <w:bottom w:val="single" w:color="auto" w:sz="4" w:space="0"/>
              <w:right w:val="outset" w:color="000000" w:sz="6" w:space="0"/>
            </w:tcBorders>
            <w:noWrap w:val="0"/>
            <w:vAlign w:val="center"/>
          </w:tcPr>
          <w:p w14:paraId="23478880">
            <w:pPr>
              <w:adjustRightInd w:val="0"/>
              <w:snapToGrid w:val="0"/>
              <w:jc w:val="left"/>
              <w:rPr>
                <w:rFonts w:hint="default" w:ascii="Times New Roman" w:hAnsi="Times New Roman" w:eastAsia="宋体" w:cs="Times New Roman"/>
                <w:color w:val="auto"/>
                <w:sz w:val="22"/>
                <w:szCs w:val="28"/>
              </w:rPr>
            </w:pPr>
            <w:r>
              <w:rPr>
                <w:rFonts w:hint="default" w:ascii="Times New Roman" w:hAnsi="Times New Roman" w:eastAsia="宋体" w:cs="Times New Roman"/>
                <w:color w:val="auto"/>
                <w:sz w:val="22"/>
                <w:szCs w:val="28"/>
              </w:rPr>
              <w:t>注：a 预期与食品直接接触，且不经过消毒或清洗直接使用的竹木材料及制品的微生物应符合GB 14934—</w:t>
            </w:r>
            <w:r>
              <w:rPr>
                <w:rFonts w:hint="eastAsia" w:ascii="Times New Roman" w:hAnsi="Times New Roman" w:eastAsia="宋体" w:cs="Times New Roman"/>
                <w:color w:val="auto"/>
                <w:sz w:val="22"/>
                <w:szCs w:val="28"/>
                <w:lang w:val="en-US" w:eastAsia="zh-CN"/>
              </w:rPr>
              <w:t>2016</w:t>
            </w:r>
            <w:r>
              <w:rPr>
                <w:rFonts w:hint="default" w:ascii="Times New Roman" w:hAnsi="Times New Roman" w:eastAsia="宋体" w:cs="Times New Roman"/>
                <w:color w:val="auto"/>
                <w:sz w:val="22"/>
                <w:szCs w:val="28"/>
              </w:rPr>
              <w:t>的规定，与食用、烹饪或者加工前需经去皮、去壳或清洗的食品接触的竹木材料及制品除外。</w:t>
            </w:r>
          </w:p>
          <w:p w14:paraId="780F7B9F">
            <w:pPr>
              <w:adjustRightInd w:val="0"/>
              <w:snapToGrid w:val="0"/>
              <w:jc w:val="left"/>
              <w:rPr>
                <w:rFonts w:hint="default" w:ascii="Times New Roman" w:hAnsi="Times New Roman" w:eastAsia="宋体" w:cs="Times New Roman"/>
                <w:color w:val="auto"/>
                <w:sz w:val="22"/>
                <w:szCs w:val="28"/>
              </w:rPr>
            </w:pPr>
            <w:r>
              <w:rPr>
                <w:rFonts w:hint="default" w:ascii="Times New Roman" w:hAnsi="Times New Roman" w:eastAsia="宋体" w:cs="Times New Roman"/>
                <w:color w:val="auto"/>
                <w:sz w:val="22"/>
                <w:szCs w:val="28"/>
              </w:rPr>
              <w:t>b仅适用于执行GB/T 19790.2—2005的产品。</w:t>
            </w:r>
          </w:p>
        </w:tc>
      </w:tr>
    </w:tbl>
    <w:p w14:paraId="591C7D34">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1F1CD16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5872F5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bookmarkStart w:id="0" w:name="_GoBack"/>
      <w:bookmarkEnd w:id="0"/>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1EF8642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GB 4806.12</w:t>
      </w:r>
      <w:r>
        <w:rPr>
          <w:rFonts w:hint="default" w:ascii="Times New Roman" w:hAnsi="Times New Roman" w:eastAsia="宋体" w:cs="Times New Roman"/>
          <w:color w:val="auto"/>
          <w:sz w:val="22"/>
          <w:szCs w:val="28"/>
        </w:rPr>
        <w:t>—</w:t>
      </w:r>
      <w:r>
        <w:rPr>
          <w:rFonts w:hint="eastAsia" w:ascii="Times New Roman" w:hAnsi="Times New Roman" w:eastAsia="宋体" w:cs="宋体"/>
          <w:sz w:val="22"/>
          <w:szCs w:val="28"/>
        </w:rPr>
        <w:t xml:space="preserve">2022 食品安全国家标准 </w:t>
      </w:r>
      <w:r>
        <w:rPr>
          <w:rFonts w:hint="eastAsia" w:ascii="Times New Roman" w:hAnsi="Times New Roman" w:eastAsia="宋体" w:cs="宋体"/>
          <w:sz w:val="22"/>
          <w:szCs w:val="28"/>
          <w:lang w:val="en-US" w:eastAsia="zh-CN"/>
        </w:rPr>
        <w:t xml:space="preserve"> </w:t>
      </w:r>
      <w:r>
        <w:rPr>
          <w:rFonts w:hint="eastAsia" w:ascii="Times New Roman" w:hAnsi="Times New Roman" w:eastAsia="宋体" w:cs="宋体"/>
          <w:sz w:val="22"/>
          <w:szCs w:val="28"/>
        </w:rPr>
        <w:t>食品接触用竹木材料及制品</w:t>
      </w:r>
    </w:p>
    <w:p w14:paraId="1E03343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GB 14934</w:t>
      </w:r>
      <w:r>
        <w:rPr>
          <w:rFonts w:hint="default" w:ascii="Times New Roman" w:hAnsi="Times New Roman" w:eastAsia="宋体" w:cs="Times New Roman"/>
          <w:color w:val="auto"/>
          <w:sz w:val="22"/>
          <w:szCs w:val="28"/>
        </w:rPr>
        <w:t>—</w:t>
      </w:r>
      <w:r>
        <w:rPr>
          <w:rFonts w:hint="eastAsia" w:ascii="Times New Roman" w:hAnsi="Times New Roman" w:eastAsia="宋体" w:cs="宋体"/>
          <w:sz w:val="22"/>
          <w:szCs w:val="28"/>
        </w:rPr>
        <w:t xml:space="preserve">2016 食品安全国家标准 </w:t>
      </w:r>
      <w:r>
        <w:rPr>
          <w:rFonts w:hint="eastAsia" w:ascii="Times New Roman" w:hAnsi="Times New Roman" w:eastAsia="宋体" w:cs="宋体"/>
          <w:sz w:val="22"/>
          <w:szCs w:val="28"/>
          <w:lang w:val="en-US" w:eastAsia="zh-CN"/>
        </w:rPr>
        <w:t xml:space="preserve"> </w:t>
      </w:r>
      <w:r>
        <w:rPr>
          <w:rFonts w:hint="eastAsia" w:ascii="Times New Roman" w:hAnsi="Times New Roman" w:eastAsia="宋体" w:cs="宋体"/>
          <w:sz w:val="22"/>
          <w:szCs w:val="28"/>
        </w:rPr>
        <w:t>消毒餐（饮）具</w:t>
      </w:r>
    </w:p>
    <w:p w14:paraId="33759A6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GB/T 19790.2</w:t>
      </w:r>
      <w:r>
        <w:rPr>
          <w:rFonts w:hint="default" w:ascii="Times New Roman" w:hAnsi="Times New Roman" w:eastAsia="宋体" w:cs="Times New Roman"/>
          <w:color w:val="auto"/>
          <w:sz w:val="22"/>
          <w:szCs w:val="28"/>
        </w:rPr>
        <w:t>—</w:t>
      </w:r>
      <w:r>
        <w:rPr>
          <w:rFonts w:hint="eastAsia" w:ascii="Times New Roman" w:hAnsi="Times New Roman" w:eastAsia="宋体" w:cs="宋体"/>
          <w:sz w:val="22"/>
          <w:szCs w:val="28"/>
        </w:rPr>
        <w:t xml:space="preserve">2005一次性筷子 </w:t>
      </w:r>
      <w:r>
        <w:rPr>
          <w:rFonts w:hint="eastAsia" w:ascii="Times New Roman" w:hAnsi="Times New Roman" w:eastAsia="宋体" w:cs="宋体"/>
          <w:sz w:val="22"/>
          <w:szCs w:val="28"/>
          <w:lang w:val="en-US" w:eastAsia="zh-CN"/>
        </w:rPr>
        <w:t xml:space="preserve"> </w:t>
      </w:r>
      <w:r>
        <w:rPr>
          <w:rFonts w:hint="eastAsia" w:ascii="Times New Roman" w:hAnsi="Times New Roman" w:eastAsia="宋体" w:cs="宋体"/>
          <w:sz w:val="22"/>
          <w:szCs w:val="28"/>
        </w:rPr>
        <w:t>第2部分：竹筷</w:t>
      </w:r>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45E4AB0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依据GB 4789.1—2016 《食品安全国家标准 食品微生物学检验 总则》第7.3条规定“检验结果报告后，剩余样品和同批产品不进行微生物项目的复检”，微生物指标不合格不进行复检。</w:t>
      </w:r>
    </w:p>
    <w:p w14:paraId="7086E94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B3F006E"/>
    <w:rsid w:val="0CD143AE"/>
    <w:rsid w:val="0D343503"/>
    <w:rsid w:val="13144FF5"/>
    <w:rsid w:val="149E7B87"/>
    <w:rsid w:val="156C55BC"/>
    <w:rsid w:val="1AA96EFB"/>
    <w:rsid w:val="1E7B23CC"/>
    <w:rsid w:val="222A1341"/>
    <w:rsid w:val="29B570DA"/>
    <w:rsid w:val="2B4863B8"/>
    <w:rsid w:val="2B830B12"/>
    <w:rsid w:val="2E5977D4"/>
    <w:rsid w:val="2E8C4181"/>
    <w:rsid w:val="2ED81174"/>
    <w:rsid w:val="33282FA9"/>
    <w:rsid w:val="369B34C6"/>
    <w:rsid w:val="38A81BB8"/>
    <w:rsid w:val="3CD66E2C"/>
    <w:rsid w:val="3CF959B9"/>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5EF030FE"/>
    <w:rsid w:val="649B4036"/>
    <w:rsid w:val="68932257"/>
    <w:rsid w:val="6C8A3618"/>
    <w:rsid w:val="6E79418D"/>
    <w:rsid w:val="6FD607DD"/>
    <w:rsid w:val="6FF46EB5"/>
    <w:rsid w:val="71BA4C42"/>
    <w:rsid w:val="737C0D9D"/>
    <w:rsid w:val="73C038EC"/>
    <w:rsid w:val="74422159"/>
    <w:rsid w:val="76621D63"/>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1227</Words>
  <Characters>1710</Characters>
  <Lines>0</Lines>
  <Paragraphs>0</Paragraphs>
  <TotalTime>3</TotalTime>
  <ScaleCrop>false</ScaleCrop>
  <LinksUpToDate>false</LinksUpToDate>
  <CharactersWithSpaces>1771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2026-07-09T06:22:19Z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A467E3C05456403EBAF5D0CDF860EB82_13</vt:lpwstr>
  </property>
  <property fmtid="{D5CDD505-2E9C-101B-9397-08002B2CF9AE}" pid="4" name="KSOTemplateDocerSaveRecord">
    <vt:lpwstr>eyJoZGlkIjoiYjU4YTEyOWI0YTA1NzExMDUyM2E4NzRjZjM1MmQ2OWEiLCJ1c2VySWQiOiIxMTI2NTcyODI0In0=</vt:lpwstr>
  </property>
</Properties>
</file>